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A1" w:rsidRPr="001924C4" w:rsidRDefault="00914E11" w:rsidP="008119A1">
      <w:pPr>
        <w:rPr>
          <w:rFonts w:ascii="Arial" w:hAnsi="Arial" w:cs="Arial"/>
          <w:b/>
          <w:sz w:val="22"/>
          <w:szCs w:val="22"/>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9079865</wp:posOffset>
            </wp:positionH>
            <wp:positionV relativeFrom="paragraph">
              <wp:posOffset>-197485</wp:posOffset>
            </wp:positionV>
            <wp:extent cx="704850" cy="638175"/>
            <wp:effectExtent l="0" t="0" r="0" b="0"/>
            <wp:wrapNone/>
            <wp:docPr id="1" name="Picture 2" descr="Oakleaf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 Logo PPT.png"/>
                    <pic:cNvPicPr>
                      <a:picLocks noChangeAspect="1" noChangeArrowheads="1"/>
                    </pic:cNvPicPr>
                  </pic:nvPicPr>
                  <pic:blipFill>
                    <a:blip r:embed="rId7" cstate="print"/>
                    <a:srcRect/>
                    <a:stretch>
                      <a:fillRect/>
                    </a:stretch>
                  </pic:blipFill>
                  <pic:spPr bwMode="auto">
                    <a:xfrm>
                      <a:off x="0" y="0"/>
                      <a:ext cx="704850" cy="638175"/>
                    </a:xfrm>
                    <a:prstGeom prst="rect">
                      <a:avLst/>
                    </a:prstGeom>
                    <a:noFill/>
                    <a:ln w="9525">
                      <a:noFill/>
                      <a:miter lim="800000"/>
                      <a:headEnd/>
                      <a:tailEnd/>
                    </a:ln>
                  </pic:spPr>
                </pic:pic>
              </a:graphicData>
            </a:graphic>
          </wp:anchor>
        </w:drawing>
      </w:r>
      <w:r w:rsidR="008119A1">
        <w:rPr>
          <w:rFonts w:ascii="Arial" w:hAnsi="Arial" w:cs="Arial"/>
          <w:b/>
          <w:sz w:val="28"/>
          <w:szCs w:val="28"/>
        </w:rPr>
        <w:t xml:space="preserve">3. </w:t>
      </w:r>
      <w:r w:rsidR="008119A1" w:rsidRPr="00F737D7">
        <w:rPr>
          <w:rFonts w:ascii="Arial" w:hAnsi="Arial" w:cs="Arial"/>
          <w:b/>
          <w:sz w:val="28"/>
          <w:szCs w:val="28"/>
        </w:rPr>
        <w:t>Interrupting the Cycle of Poverty – The Pupil Equity Fund Planning Template</w:t>
      </w:r>
      <w:r w:rsidR="008119A1" w:rsidRPr="001924C4">
        <w:rPr>
          <w:rFonts w:ascii="Arial" w:hAnsi="Arial" w:cs="Arial"/>
          <w:b/>
          <w:sz w:val="22"/>
          <w:szCs w:val="22"/>
        </w:rPr>
        <w:t xml:space="preserve">           </w:t>
      </w:r>
    </w:p>
    <w:p w:rsidR="008119A1" w:rsidRPr="001924C4" w:rsidRDefault="008119A1" w:rsidP="008119A1">
      <w:pPr>
        <w:ind w:firstLine="720"/>
        <w:rPr>
          <w:rFonts w:ascii="Arial" w:hAnsi="Arial" w:cs="Arial"/>
          <w:sz w:val="22"/>
          <w:szCs w:val="22"/>
        </w:rPr>
      </w:pPr>
    </w:p>
    <w:p w:rsidR="008119A1" w:rsidRPr="001924C4" w:rsidRDefault="008119A1" w:rsidP="008119A1">
      <w:pPr>
        <w:rPr>
          <w:rFonts w:ascii="Arial" w:hAnsi="Arial" w:cs="Arial"/>
          <w:sz w:val="22"/>
          <w:szCs w:val="22"/>
        </w:rPr>
      </w:pPr>
    </w:p>
    <w:p w:rsidR="008119A1" w:rsidRDefault="008119A1" w:rsidP="008119A1">
      <w:pPr>
        <w:rPr>
          <w:rFonts w:ascii="Arial" w:hAnsi="Arial" w:cs="Arial"/>
          <w:sz w:val="20"/>
          <w:szCs w:val="20"/>
        </w:rPr>
      </w:pPr>
      <w:r w:rsidRPr="001924C4">
        <w:rPr>
          <w:rFonts w:ascii="Arial" w:hAnsi="Arial" w:cs="Arial"/>
          <w:sz w:val="20"/>
          <w:szCs w:val="20"/>
        </w:rPr>
        <w:t>Pupil Equity funding should be focused on activities and interventions that will lead to improvements in literacy and numeracy across the Broad General Education, increased levels of engagement, participation, health and wellbeing and an improvement in attendance and a reduction in exclusions.</w:t>
      </w:r>
      <w:r>
        <w:rPr>
          <w:rFonts w:ascii="Arial" w:hAnsi="Arial" w:cs="Arial"/>
          <w:sz w:val="20"/>
          <w:szCs w:val="20"/>
        </w:rPr>
        <w:t xml:space="preserve"> </w:t>
      </w:r>
      <w:r w:rsidRPr="001924C4">
        <w:rPr>
          <w:rFonts w:ascii="Arial" w:hAnsi="Arial" w:cs="Arial"/>
          <w:sz w:val="20"/>
          <w:szCs w:val="20"/>
        </w:rPr>
        <w:t xml:space="preserve">Head Teachers can work at an individual school and local community level or collegiately in wider school clusters and beyond at local authority level to address common interests. </w:t>
      </w:r>
    </w:p>
    <w:p w:rsidR="008119A1" w:rsidRDefault="008119A1" w:rsidP="008119A1">
      <w:pPr>
        <w:rPr>
          <w:rFonts w:ascii="Arial" w:hAnsi="Arial" w:cs="Arial"/>
          <w:sz w:val="20"/>
          <w:szCs w:val="20"/>
        </w:rPr>
      </w:pPr>
    </w:p>
    <w:p w:rsidR="008119A1" w:rsidRPr="009B6C83" w:rsidRDefault="008119A1" w:rsidP="008119A1">
      <w:pPr>
        <w:rPr>
          <w:rFonts w:ascii="Arial" w:hAnsi="Arial" w:cs="Arial"/>
          <w:b/>
          <w:color w:val="FF0000"/>
        </w:rPr>
      </w:pPr>
      <w:r w:rsidRPr="009B6C83">
        <w:rPr>
          <w:rFonts w:ascii="Arial" w:hAnsi="Arial" w:cs="Arial"/>
          <w:b/>
          <w:color w:val="FF0000"/>
        </w:rPr>
        <w:t xml:space="preserve">This is a draft plan which will be updated and finalised in August to allow staff </w:t>
      </w:r>
      <w:r w:rsidR="00914E11" w:rsidRPr="009B6C83">
        <w:rPr>
          <w:rFonts w:ascii="Arial" w:hAnsi="Arial" w:cs="Arial"/>
          <w:b/>
          <w:color w:val="FF0000"/>
        </w:rPr>
        <w:t>to have a greater</w:t>
      </w:r>
      <w:r w:rsidRPr="009B6C83">
        <w:rPr>
          <w:rFonts w:ascii="Arial" w:hAnsi="Arial" w:cs="Arial"/>
          <w:b/>
          <w:color w:val="FF0000"/>
        </w:rPr>
        <w:t xml:space="preserve"> input.</w:t>
      </w:r>
      <w:r w:rsidR="009B6C83" w:rsidRPr="009B6C83">
        <w:rPr>
          <w:rFonts w:ascii="Arial" w:hAnsi="Arial" w:cs="Arial"/>
          <w:b/>
          <w:color w:val="FF0000"/>
        </w:rPr>
        <w:t xml:space="preserve"> </w:t>
      </w:r>
    </w:p>
    <w:p w:rsidR="009B6C83" w:rsidRPr="009B6C83" w:rsidRDefault="009B6C83" w:rsidP="008119A1">
      <w:pPr>
        <w:rPr>
          <w:rFonts w:ascii="Arial" w:hAnsi="Arial" w:cs="Arial"/>
          <w:b/>
          <w:color w:val="FF0000"/>
        </w:rPr>
      </w:pPr>
      <w:r w:rsidRPr="009B6C83">
        <w:rPr>
          <w:rFonts w:ascii="Arial" w:hAnsi="Arial" w:cs="Arial"/>
          <w:b/>
          <w:color w:val="FF0000"/>
        </w:rPr>
        <w:t>We need to assess the new gap in August following Covid-19 and plan further interventions and strategies.</w:t>
      </w:r>
    </w:p>
    <w:p w:rsidR="008119A1" w:rsidRDefault="008119A1" w:rsidP="008119A1">
      <w:pPr>
        <w:rPr>
          <w:rFonts w:ascii="Arial" w:hAnsi="Arial" w:cs="Arial"/>
          <w:b/>
          <w:sz w:val="22"/>
          <w:szCs w:val="22"/>
        </w:rPr>
      </w:pPr>
    </w:p>
    <w:p w:rsidR="008119A1" w:rsidRDefault="008119A1" w:rsidP="008119A1">
      <w:pPr>
        <w:rPr>
          <w:rFonts w:ascii="Arial" w:hAnsi="Arial" w:cs="Arial"/>
          <w:b/>
          <w:sz w:val="22"/>
          <w:szCs w:val="22"/>
        </w:rPr>
      </w:pPr>
      <w:r w:rsidRPr="00371DD9">
        <w:rPr>
          <w:rFonts w:ascii="Arial" w:hAnsi="Arial" w:cs="Arial"/>
          <w:b/>
          <w:sz w:val="22"/>
          <w:szCs w:val="22"/>
        </w:rPr>
        <w:t>Total Funding Received:</w:t>
      </w:r>
      <w:r w:rsidR="006E5BE9">
        <w:rPr>
          <w:rFonts w:ascii="Arial" w:hAnsi="Arial" w:cs="Arial"/>
          <w:b/>
          <w:sz w:val="22"/>
          <w:szCs w:val="22"/>
        </w:rPr>
        <w:t xml:space="preserve"> </w:t>
      </w:r>
      <w:r w:rsidR="009B6C83">
        <w:rPr>
          <w:rFonts w:ascii="Arial" w:hAnsi="Arial" w:cs="Arial"/>
          <w:b/>
          <w:sz w:val="22"/>
          <w:szCs w:val="22"/>
        </w:rPr>
        <w:t>£66,964 plus £13,509.38 carry forward = £80,473.38</w:t>
      </w:r>
    </w:p>
    <w:p w:rsidR="006E5BE9" w:rsidRPr="00EE5342" w:rsidRDefault="006E5BE9" w:rsidP="008119A1">
      <w:pPr>
        <w:rPr>
          <w:rFonts w:ascii="Arial" w:hAnsi="Arial" w:cs="Arial"/>
          <w:b/>
          <w:sz w:val="22"/>
          <w:szCs w:val="22"/>
        </w:rPr>
      </w:pPr>
    </w:p>
    <w:tbl>
      <w:tblPr>
        <w:tblStyle w:val="LightShading-Accent3"/>
        <w:tblW w:w="0" w:type="auto"/>
        <w:tblLook w:val="04A0" w:firstRow="1" w:lastRow="0" w:firstColumn="1" w:lastColumn="0" w:noHBand="0" w:noVBand="1"/>
      </w:tblPr>
      <w:tblGrid>
        <w:gridCol w:w="3227"/>
        <w:gridCol w:w="3969"/>
        <w:gridCol w:w="1417"/>
        <w:gridCol w:w="1276"/>
        <w:gridCol w:w="2268"/>
        <w:gridCol w:w="3113"/>
      </w:tblGrid>
      <w:tr w:rsidR="008119A1" w:rsidRPr="001924C4" w:rsidTr="00676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119A1" w:rsidRPr="00914E11" w:rsidRDefault="008119A1" w:rsidP="00914E11">
            <w:pPr>
              <w:jc w:val="center"/>
              <w:rPr>
                <w:rFonts w:ascii="Arial" w:eastAsia="Calibri" w:hAnsi="Arial" w:cs="Arial"/>
                <w:bCs w:val="0"/>
                <w:color w:val="auto"/>
                <w:sz w:val="20"/>
                <w:szCs w:val="20"/>
              </w:rPr>
            </w:pPr>
            <w:r w:rsidRPr="00914E11">
              <w:rPr>
                <w:rFonts w:ascii="Arial" w:eastAsia="Calibri" w:hAnsi="Arial" w:cs="Arial"/>
                <w:bCs w:val="0"/>
                <w:color w:val="auto"/>
                <w:sz w:val="20"/>
                <w:szCs w:val="20"/>
              </w:rPr>
              <w:t>Gap Identified</w:t>
            </w:r>
          </w:p>
        </w:tc>
        <w:tc>
          <w:tcPr>
            <w:tcW w:w="3969" w:type="dxa"/>
            <w:vAlign w:val="center"/>
          </w:tcPr>
          <w:p w:rsidR="008119A1" w:rsidRPr="00914E11" w:rsidRDefault="008119A1" w:rsidP="00914E1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20"/>
                <w:szCs w:val="20"/>
              </w:rPr>
            </w:pPr>
            <w:r w:rsidRPr="00914E11">
              <w:rPr>
                <w:rFonts w:ascii="Arial" w:eastAsia="Calibri" w:hAnsi="Arial" w:cs="Arial"/>
                <w:bCs w:val="0"/>
                <w:color w:val="auto"/>
                <w:sz w:val="20"/>
                <w:szCs w:val="20"/>
              </w:rPr>
              <w:t>Intervention Planned</w:t>
            </w:r>
          </w:p>
        </w:tc>
        <w:tc>
          <w:tcPr>
            <w:tcW w:w="1417" w:type="dxa"/>
            <w:vAlign w:val="center"/>
          </w:tcPr>
          <w:p w:rsidR="008119A1" w:rsidRPr="00914E11" w:rsidRDefault="008119A1" w:rsidP="00914E1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20"/>
                <w:szCs w:val="20"/>
              </w:rPr>
            </w:pPr>
            <w:r w:rsidRPr="00914E11">
              <w:rPr>
                <w:rFonts w:ascii="Arial" w:eastAsia="Calibri" w:hAnsi="Arial" w:cs="Arial"/>
                <w:bCs w:val="0"/>
                <w:color w:val="auto"/>
                <w:sz w:val="20"/>
                <w:szCs w:val="20"/>
              </w:rPr>
              <w:t>Led by whom and  by when</w:t>
            </w:r>
          </w:p>
        </w:tc>
        <w:tc>
          <w:tcPr>
            <w:tcW w:w="1276" w:type="dxa"/>
            <w:vAlign w:val="center"/>
          </w:tcPr>
          <w:p w:rsidR="008119A1" w:rsidRPr="00914E11" w:rsidRDefault="008119A1" w:rsidP="00914E1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20"/>
                <w:szCs w:val="20"/>
              </w:rPr>
            </w:pPr>
            <w:r w:rsidRPr="00914E11">
              <w:rPr>
                <w:rFonts w:ascii="Arial" w:eastAsia="Calibri" w:hAnsi="Arial" w:cs="Arial"/>
                <w:bCs w:val="0"/>
                <w:color w:val="auto"/>
                <w:sz w:val="20"/>
                <w:szCs w:val="20"/>
              </w:rPr>
              <w:t>Cost</w:t>
            </w:r>
          </w:p>
        </w:tc>
        <w:tc>
          <w:tcPr>
            <w:tcW w:w="2268" w:type="dxa"/>
            <w:vAlign w:val="center"/>
          </w:tcPr>
          <w:p w:rsidR="008119A1" w:rsidRPr="00914E11" w:rsidRDefault="008119A1" w:rsidP="00914E1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20"/>
                <w:szCs w:val="20"/>
              </w:rPr>
            </w:pPr>
            <w:r w:rsidRPr="00914E11">
              <w:rPr>
                <w:rFonts w:ascii="Arial" w:eastAsia="Calibri" w:hAnsi="Arial" w:cs="Arial"/>
                <w:bCs w:val="0"/>
                <w:color w:val="auto"/>
                <w:sz w:val="20"/>
                <w:szCs w:val="20"/>
              </w:rPr>
              <w:t>How will the impact of the intervention be monitored?</w:t>
            </w:r>
          </w:p>
        </w:tc>
        <w:tc>
          <w:tcPr>
            <w:tcW w:w="3113" w:type="dxa"/>
            <w:vAlign w:val="center"/>
          </w:tcPr>
          <w:p w:rsidR="008119A1" w:rsidRPr="00914E11" w:rsidRDefault="008119A1" w:rsidP="00914E11">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auto"/>
                <w:sz w:val="20"/>
                <w:szCs w:val="20"/>
              </w:rPr>
            </w:pPr>
            <w:r w:rsidRPr="00914E11">
              <w:rPr>
                <w:rFonts w:ascii="Arial" w:eastAsia="Calibri" w:hAnsi="Arial" w:cs="Arial"/>
                <w:bCs w:val="0"/>
                <w:color w:val="auto"/>
                <w:sz w:val="20"/>
                <w:szCs w:val="20"/>
              </w:rPr>
              <w:t>Measure of Success</w:t>
            </w:r>
          </w:p>
        </w:tc>
      </w:tr>
      <w:tr w:rsidR="006E5BE9" w:rsidRPr="001924C4" w:rsidTr="00676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119A1" w:rsidRPr="00914E11" w:rsidRDefault="008119A1" w:rsidP="00914E11">
            <w:pPr>
              <w:rPr>
                <w:rFonts w:ascii="Arial" w:eastAsia="Calibri" w:hAnsi="Arial" w:cs="Arial"/>
                <w:b w:val="0"/>
                <w:bCs w:val="0"/>
                <w:color w:val="auto"/>
                <w:sz w:val="20"/>
                <w:szCs w:val="20"/>
              </w:rPr>
            </w:pPr>
          </w:p>
          <w:p w:rsidR="008119A1" w:rsidRDefault="00914E11" w:rsidP="00914E11">
            <w:pPr>
              <w:rPr>
                <w:rFonts w:ascii="Arial" w:eastAsia="Calibri" w:hAnsi="Arial" w:cs="Arial"/>
                <w:b w:val="0"/>
                <w:bCs w:val="0"/>
                <w:color w:val="auto"/>
                <w:sz w:val="20"/>
                <w:szCs w:val="20"/>
              </w:rPr>
            </w:pPr>
            <w:r w:rsidRPr="00914E11">
              <w:rPr>
                <w:rFonts w:ascii="Arial" w:eastAsia="Calibri" w:hAnsi="Arial" w:cs="Arial"/>
                <w:b w:val="0"/>
                <w:bCs w:val="0"/>
                <w:color w:val="auto"/>
                <w:sz w:val="20"/>
                <w:szCs w:val="20"/>
              </w:rPr>
              <w:t>Attendance:</w:t>
            </w:r>
          </w:p>
          <w:p w:rsidR="00914E11" w:rsidRPr="00914E11" w:rsidRDefault="00914E11"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There is a gap between Q1 and Q4 which has been widening slightly.</w:t>
            </w:r>
          </w:p>
          <w:p w:rsidR="008119A1" w:rsidRPr="00914E11" w:rsidRDefault="008119A1" w:rsidP="00914E11">
            <w:pPr>
              <w:rPr>
                <w:rFonts w:ascii="Arial" w:eastAsia="Calibri" w:hAnsi="Arial" w:cs="Arial"/>
                <w:b w:val="0"/>
                <w:bCs w:val="0"/>
                <w:color w:val="auto"/>
                <w:sz w:val="20"/>
                <w:szCs w:val="20"/>
              </w:rPr>
            </w:pPr>
          </w:p>
          <w:p w:rsidR="008119A1" w:rsidRPr="00914E11" w:rsidRDefault="008119A1" w:rsidP="00914E11">
            <w:pPr>
              <w:rPr>
                <w:rFonts w:ascii="Arial" w:eastAsia="Calibri" w:hAnsi="Arial" w:cs="Arial"/>
                <w:b w:val="0"/>
                <w:bCs w:val="0"/>
                <w:color w:val="auto"/>
                <w:sz w:val="20"/>
                <w:szCs w:val="20"/>
              </w:rPr>
            </w:pPr>
          </w:p>
        </w:tc>
        <w:tc>
          <w:tcPr>
            <w:tcW w:w="3969" w:type="dxa"/>
            <w:vAlign w:val="center"/>
          </w:tcPr>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8119A1" w:rsidRDefault="00914E11"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Member of SLT leading on Parental Engagement:</w:t>
            </w:r>
          </w:p>
          <w:p w:rsidR="00DC71DA" w:rsidRDefault="00914E11"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DC71DA">
              <w:rPr>
                <w:rFonts w:ascii="Arial" w:eastAsia="Calibri" w:hAnsi="Arial" w:cs="Arial"/>
                <w:color w:val="auto"/>
                <w:sz w:val="20"/>
                <w:szCs w:val="20"/>
              </w:rPr>
              <w:t xml:space="preserve">- </w:t>
            </w:r>
            <w:r w:rsidR="00DC71DA" w:rsidRPr="00DC71DA">
              <w:rPr>
                <w:rFonts w:ascii="Arial" w:eastAsia="Calibri" w:hAnsi="Arial" w:cs="Arial"/>
                <w:color w:val="auto"/>
                <w:sz w:val="20"/>
                <w:szCs w:val="20"/>
              </w:rPr>
              <w:t xml:space="preserve">supporting families </w:t>
            </w:r>
            <w:r w:rsidR="00DC71DA">
              <w:rPr>
                <w:rFonts w:ascii="Arial" w:eastAsia="Calibri" w:hAnsi="Arial" w:cs="Arial"/>
                <w:color w:val="auto"/>
                <w:sz w:val="20"/>
                <w:szCs w:val="20"/>
              </w:rPr>
              <w:t>where attendance and lateness is a concern</w:t>
            </w:r>
          </w:p>
          <w:p w:rsidR="003A0227" w:rsidRDefault="003A0227"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DESCRIBE STEPS TO BE TAKEN</w:t>
            </w:r>
            <w:bookmarkStart w:id="0" w:name="_GoBack"/>
            <w:bookmarkEnd w:id="0"/>
          </w:p>
          <w:p w:rsidR="0067600C" w:rsidRPr="00DC71DA"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1417" w:type="dxa"/>
            <w:vAlign w:val="center"/>
          </w:tcPr>
          <w:p w:rsidR="008119A1" w:rsidRPr="00914E11" w:rsidRDefault="003A0227"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GR</w:t>
            </w:r>
          </w:p>
        </w:tc>
        <w:tc>
          <w:tcPr>
            <w:tcW w:w="1276" w:type="dxa"/>
            <w:vAlign w:val="center"/>
          </w:tcPr>
          <w:p w:rsidR="008119A1" w:rsidRPr="00914E11" w:rsidRDefault="00DC71DA"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Covered by using assembly as NCCT cover.</w:t>
            </w:r>
          </w:p>
        </w:tc>
        <w:tc>
          <w:tcPr>
            <w:tcW w:w="2268" w:type="dxa"/>
            <w:vAlign w:val="center"/>
          </w:tcPr>
          <w:p w:rsidR="00DC71DA" w:rsidRPr="00914E11" w:rsidRDefault="00DC71DA"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Attendance and lateness data on SEEMiS.</w:t>
            </w:r>
          </w:p>
        </w:tc>
        <w:tc>
          <w:tcPr>
            <w:tcW w:w="3113" w:type="dxa"/>
            <w:vAlign w:val="center"/>
          </w:tcPr>
          <w:p w:rsidR="008119A1" w:rsidRPr="00914E11" w:rsidRDefault="008119A1"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r>
      <w:tr w:rsidR="008119A1" w:rsidRPr="001924C4" w:rsidTr="0067600C">
        <w:trPr>
          <w:trHeight w:val="11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119A1" w:rsidRPr="00914E11" w:rsidRDefault="008119A1" w:rsidP="00914E11">
            <w:pPr>
              <w:rPr>
                <w:rFonts w:ascii="Arial" w:eastAsia="Calibri" w:hAnsi="Arial" w:cs="Arial"/>
                <w:b w:val="0"/>
                <w:bCs w:val="0"/>
                <w:color w:val="auto"/>
                <w:sz w:val="20"/>
                <w:szCs w:val="20"/>
              </w:rPr>
            </w:pPr>
          </w:p>
          <w:p w:rsidR="008119A1" w:rsidRDefault="00DC71DA"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P7 reading attainment:</w:t>
            </w:r>
          </w:p>
          <w:p w:rsidR="00DC71DA" w:rsidRPr="00914E11" w:rsidRDefault="00DC71DA"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Large, widening gap in attainment between Q1 and Q4.</w:t>
            </w:r>
          </w:p>
          <w:p w:rsidR="008119A1" w:rsidRPr="00914E11" w:rsidRDefault="008119A1" w:rsidP="00914E11">
            <w:pPr>
              <w:rPr>
                <w:rFonts w:ascii="Arial" w:eastAsia="Calibri" w:hAnsi="Arial" w:cs="Arial"/>
                <w:b w:val="0"/>
                <w:bCs w:val="0"/>
                <w:color w:val="auto"/>
                <w:sz w:val="20"/>
                <w:szCs w:val="20"/>
              </w:rPr>
            </w:pPr>
          </w:p>
        </w:tc>
        <w:tc>
          <w:tcPr>
            <w:tcW w:w="3969" w:type="dxa"/>
            <w:vAlign w:val="center"/>
          </w:tcPr>
          <w:p w:rsidR="0067600C" w:rsidRDefault="0067600C"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Targeted support:</w:t>
            </w:r>
          </w:p>
          <w:p w:rsidR="00DC71DA" w:rsidRDefault="00DC71DA"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Learning assistant</w:t>
            </w:r>
            <w:r w:rsidR="0067600C">
              <w:rPr>
                <w:rFonts w:ascii="Arial" w:eastAsia="Calibri" w:hAnsi="Arial" w:cs="Arial"/>
                <w:color w:val="auto"/>
                <w:sz w:val="20"/>
                <w:szCs w:val="20"/>
              </w:rPr>
              <w:t xml:space="preserve"> t</w:t>
            </w:r>
            <w:r>
              <w:rPr>
                <w:rFonts w:ascii="Arial" w:eastAsia="Calibri" w:hAnsi="Arial" w:cs="Arial"/>
                <w:color w:val="auto"/>
                <w:sz w:val="20"/>
                <w:szCs w:val="20"/>
              </w:rPr>
              <w:t>o work in conjunction with SLT leading on Personalised Support in The Learning Hive, delivering targeted interventions to support reading</w:t>
            </w:r>
          </w:p>
          <w:p w:rsidR="0067600C" w:rsidRPr="00914E11" w:rsidRDefault="0067600C"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1417" w:type="dxa"/>
            <w:vAlign w:val="center"/>
          </w:tcPr>
          <w:p w:rsidR="008119A1" w:rsidRPr="00914E11" w:rsidRDefault="003A0227"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JS/HR</w:t>
            </w:r>
          </w:p>
        </w:tc>
        <w:tc>
          <w:tcPr>
            <w:tcW w:w="1276" w:type="dxa"/>
            <w:vAlign w:val="center"/>
          </w:tcPr>
          <w:p w:rsidR="008119A1" w:rsidRPr="00914E11" w:rsidRDefault="00DC71DA"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£16,900</w:t>
            </w:r>
          </w:p>
        </w:tc>
        <w:tc>
          <w:tcPr>
            <w:tcW w:w="2268" w:type="dxa"/>
            <w:vAlign w:val="center"/>
          </w:tcPr>
          <w:p w:rsidR="00DC71DA" w:rsidRDefault="00DC71DA"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SWRT</w:t>
            </w:r>
          </w:p>
          <w:p w:rsidR="00DC71DA" w:rsidRPr="00914E11" w:rsidRDefault="00DC71DA"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Teachers’ professional judgement of achievement of a level</w:t>
            </w:r>
          </w:p>
        </w:tc>
        <w:tc>
          <w:tcPr>
            <w:tcW w:w="3113" w:type="dxa"/>
            <w:vAlign w:val="center"/>
          </w:tcPr>
          <w:p w:rsidR="008119A1" w:rsidRPr="00914E11" w:rsidRDefault="008119A1"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r>
      <w:tr w:rsidR="006E5BE9" w:rsidRPr="001924C4" w:rsidTr="003C7CAE">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6E5BE9" w:rsidRDefault="00DC71DA"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P4 and P7 writing attainment:</w:t>
            </w:r>
          </w:p>
          <w:p w:rsidR="00DC71DA" w:rsidRPr="00914E11" w:rsidRDefault="00DC71DA"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Large gaps in attainment between Q1 and Q4</w:t>
            </w:r>
            <w:r w:rsidR="0067600C">
              <w:rPr>
                <w:rFonts w:ascii="Arial" w:eastAsia="Calibri" w:hAnsi="Arial" w:cs="Arial"/>
                <w:b w:val="0"/>
                <w:bCs w:val="0"/>
                <w:color w:val="auto"/>
                <w:sz w:val="20"/>
                <w:szCs w:val="20"/>
              </w:rPr>
              <w:t>, with a general downward trend in all quintiles</w:t>
            </w:r>
          </w:p>
        </w:tc>
        <w:tc>
          <w:tcPr>
            <w:tcW w:w="3969" w:type="dxa"/>
            <w:vAlign w:val="center"/>
          </w:tcPr>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E5BE9"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Universal support:</w:t>
            </w: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SLT/Working Party to look at literacy across the whole school to bring together a clear, coherent, progressive approach.</w:t>
            </w: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Targeted support:</w:t>
            </w: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Learning assistant to be allocated to classes to allow CTs to target support and challenge in writing.</w:t>
            </w:r>
          </w:p>
          <w:p w:rsidR="0067600C" w:rsidRPr="00914E11"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DHT/PT to support groups in writing</w:t>
            </w:r>
          </w:p>
        </w:tc>
        <w:tc>
          <w:tcPr>
            <w:tcW w:w="1417" w:type="dxa"/>
            <w:vAlign w:val="center"/>
          </w:tcPr>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HR</w:t>
            </w: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LW</w:t>
            </w:r>
          </w:p>
          <w:p w:rsidR="0067600C"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67600C" w:rsidRPr="00914E11" w:rsidRDefault="0067600C"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HR/JS</w:t>
            </w:r>
          </w:p>
        </w:tc>
        <w:tc>
          <w:tcPr>
            <w:tcW w:w="1276" w:type="dxa"/>
          </w:tcPr>
          <w:p w:rsidR="006E5BE9" w:rsidRDefault="006E5BE9"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Covered by using assembly as NCCT cover.</w:t>
            </w: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£16,900</w:t>
            </w:r>
          </w:p>
          <w:p w:rsidR="009B6C83" w:rsidRPr="00914E11" w:rsidRDefault="009B6C83"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£4,200</w:t>
            </w:r>
          </w:p>
        </w:tc>
        <w:tc>
          <w:tcPr>
            <w:tcW w:w="2268" w:type="dxa"/>
          </w:tcPr>
          <w:p w:rsidR="006E5BE9" w:rsidRDefault="006E5BE9"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Attainment data in writing</w:t>
            </w: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3C7CAE" w:rsidRPr="00914E11" w:rsidRDefault="003C7CAE" w:rsidP="003C7CA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3113" w:type="dxa"/>
            <w:vAlign w:val="center"/>
          </w:tcPr>
          <w:p w:rsidR="006E5BE9" w:rsidRPr="00914E11" w:rsidRDefault="006E5BE9"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r>
      <w:tr w:rsidR="00CC4D9E" w:rsidRPr="001924C4" w:rsidTr="00057B49">
        <w:trPr>
          <w:trHeight w:val="83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119A1" w:rsidRPr="00914E11" w:rsidRDefault="008119A1" w:rsidP="00914E11">
            <w:pPr>
              <w:rPr>
                <w:rFonts w:ascii="Arial" w:eastAsia="Calibri" w:hAnsi="Arial" w:cs="Arial"/>
                <w:b w:val="0"/>
                <w:bCs w:val="0"/>
                <w:color w:val="auto"/>
                <w:sz w:val="20"/>
                <w:szCs w:val="20"/>
              </w:rPr>
            </w:pPr>
          </w:p>
          <w:p w:rsidR="008119A1" w:rsidRDefault="00CC4D9E"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P4 and P7 Numeracy and maths attainment:</w:t>
            </w:r>
          </w:p>
          <w:p w:rsidR="00CC4D9E" w:rsidRPr="00914E11" w:rsidRDefault="00CC4D9E" w:rsidP="00914E11">
            <w:pPr>
              <w:rPr>
                <w:rFonts w:ascii="Arial" w:eastAsia="Calibri" w:hAnsi="Arial" w:cs="Arial"/>
                <w:b w:val="0"/>
                <w:bCs w:val="0"/>
                <w:color w:val="auto"/>
                <w:sz w:val="20"/>
                <w:szCs w:val="20"/>
              </w:rPr>
            </w:pPr>
            <w:r>
              <w:rPr>
                <w:rFonts w:ascii="Arial" w:eastAsia="Calibri" w:hAnsi="Arial" w:cs="Arial"/>
                <w:b w:val="0"/>
                <w:bCs w:val="0"/>
                <w:color w:val="auto"/>
                <w:sz w:val="20"/>
                <w:szCs w:val="20"/>
              </w:rPr>
              <w:t>Data shows fluctuating attainment across all quintiles</w:t>
            </w:r>
          </w:p>
          <w:p w:rsidR="008119A1" w:rsidRPr="00914E11" w:rsidRDefault="008119A1" w:rsidP="00914E11">
            <w:pPr>
              <w:rPr>
                <w:rFonts w:ascii="Arial" w:eastAsia="Calibri" w:hAnsi="Arial" w:cs="Arial"/>
                <w:b w:val="0"/>
                <w:bCs w:val="0"/>
                <w:color w:val="auto"/>
                <w:sz w:val="20"/>
                <w:szCs w:val="20"/>
              </w:rPr>
            </w:pPr>
          </w:p>
          <w:p w:rsidR="008119A1" w:rsidRPr="00914E11" w:rsidRDefault="008119A1" w:rsidP="00914E11">
            <w:pPr>
              <w:rPr>
                <w:rFonts w:ascii="Arial" w:eastAsia="Calibri" w:hAnsi="Arial" w:cs="Arial"/>
                <w:b w:val="0"/>
                <w:bCs w:val="0"/>
                <w:color w:val="auto"/>
                <w:sz w:val="20"/>
                <w:szCs w:val="20"/>
              </w:rPr>
            </w:pPr>
          </w:p>
          <w:p w:rsidR="008119A1" w:rsidRPr="00914E11" w:rsidRDefault="008119A1" w:rsidP="00914E11">
            <w:pPr>
              <w:rPr>
                <w:rFonts w:ascii="Arial" w:eastAsia="Calibri" w:hAnsi="Arial" w:cs="Arial"/>
                <w:b w:val="0"/>
                <w:bCs w:val="0"/>
                <w:color w:val="auto"/>
                <w:sz w:val="20"/>
                <w:szCs w:val="20"/>
              </w:rPr>
            </w:pPr>
          </w:p>
        </w:tc>
        <w:tc>
          <w:tcPr>
            <w:tcW w:w="3969" w:type="dxa"/>
          </w:tcPr>
          <w:p w:rsidR="008119A1" w:rsidRDefault="008119A1"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Universal support:</w:t>
            </w: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SLT/Working Party to look at numeracy and maths across the whole school to bring together a clear, coherent, progressive approach.</w:t>
            </w: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ASG development officer to lead on the sharing and improvement of practice</w:t>
            </w:r>
          </w:p>
          <w:p w:rsidR="00CC4D9E" w:rsidRPr="00914E11"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1417" w:type="dxa"/>
          </w:tcPr>
          <w:p w:rsidR="008119A1" w:rsidRDefault="008119A1"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JS/BN</w:t>
            </w: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p w:rsidR="00CC4D9E" w:rsidRPr="00914E11" w:rsidRDefault="00CC4D9E"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1276" w:type="dxa"/>
          </w:tcPr>
          <w:p w:rsidR="006E5BE9" w:rsidRPr="00914E11" w:rsidRDefault="006E5BE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8119A1" w:rsidRDefault="008119A1"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p>
          <w:p w:rsidR="00057B49" w:rsidRPr="00057B49"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sidRPr="00057B49">
              <w:rPr>
                <w:rFonts w:ascii="Arial" w:eastAsia="Calibri" w:hAnsi="Arial" w:cs="Arial"/>
                <w:color w:val="auto"/>
                <w:sz w:val="20"/>
                <w:szCs w:val="20"/>
              </w:rPr>
              <w:t>£1</w:t>
            </w:r>
            <w:r w:rsidR="009B6C83">
              <w:rPr>
                <w:rFonts w:ascii="Arial" w:eastAsia="Calibri" w:hAnsi="Arial" w:cs="Arial"/>
                <w:color w:val="auto"/>
                <w:sz w:val="20"/>
                <w:szCs w:val="20"/>
              </w:rPr>
              <w:t>,</w:t>
            </w:r>
            <w:r w:rsidRPr="00057B49">
              <w:rPr>
                <w:rFonts w:ascii="Arial" w:eastAsia="Calibri" w:hAnsi="Arial" w:cs="Arial"/>
                <w:color w:val="auto"/>
                <w:sz w:val="20"/>
                <w:szCs w:val="20"/>
              </w:rPr>
              <w:t>919</w:t>
            </w:r>
          </w:p>
        </w:tc>
        <w:tc>
          <w:tcPr>
            <w:tcW w:w="2268" w:type="dxa"/>
            <w:vAlign w:val="center"/>
          </w:tcPr>
          <w:p w:rsidR="00057B49" w:rsidRDefault="00057B49" w:rsidP="00057B49">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Attainment data in Numeracy and maths</w:t>
            </w:r>
          </w:p>
          <w:p w:rsidR="00057B49" w:rsidRPr="00914E11" w:rsidRDefault="00057B49" w:rsidP="00057B49">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3113" w:type="dxa"/>
            <w:vAlign w:val="center"/>
          </w:tcPr>
          <w:p w:rsidR="008119A1" w:rsidRPr="00914E11" w:rsidRDefault="008119A1"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r>
      <w:tr w:rsidR="00057B49" w:rsidRPr="001924C4" w:rsidTr="00E37F46">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E37F46" w:rsidRDefault="00E37F46" w:rsidP="00E37F46">
            <w:pPr>
              <w:rPr>
                <w:rFonts w:ascii="Arial" w:eastAsia="Calibri" w:hAnsi="Arial" w:cs="Arial"/>
                <w:b w:val="0"/>
                <w:bCs w:val="0"/>
                <w:color w:val="auto"/>
                <w:sz w:val="20"/>
                <w:szCs w:val="20"/>
              </w:rPr>
            </w:pPr>
            <w:r>
              <w:rPr>
                <w:rFonts w:ascii="Arial" w:eastAsia="Calibri" w:hAnsi="Arial" w:cs="Arial"/>
                <w:b w:val="0"/>
                <w:bCs w:val="0"/>
                <w:color w:val="auto"/>
                <w:sz w:val="20"/>
                <w:szCs w:val="20"/>
              </w:rPr>
              <w:t>Health and Wellbeing:</w:t>
            </w:r>
          </w:p>
          <w:p w:rsidR="00E37F46" w:rsidRPr="00E37F46" w:rsidRDefault="00E37F46" w:rsidP="00E37F46">
            <w:pPr>
              <w:rPr>
                <w:rFonts w:ascii="Arial" w:eastAsia="Calibri" w:hAnsi="Arial" w:cs="Arial"/>
                <w:b w:val="0"/>
                <w:bCs w:val="0"/>
                <w:color w:val="auto"/>
                <w:sz w:val="20"/>
                <w:szCs w:val="20"/>
              </w:rPr>
            </w:pPr>
            <w:r>
              <w:rPr>
                <w:rFonts w:ascii="Arial" w:eastAsia="Calibri" w:hAnsi="Arial" w:cs="Arial"/>
                <w:b w:val="0"/>
                <w:bCs w:val="0"/>
                <w:color w:val="auto"/>
                <w:sz w:val="20"/>
                <w:szCs w:val="20"/>
              </w:rPr>
              <w:t>Affect of positive mental health and resilience on attainment.</w:t>
            </w:r>
          </w:p>
        </w:tc>
        <w:tc>
          <w:tcPr>
            <w:tcW w:w="3969" w:type="dxa"/>
          </w:tcPr>
          <w:p w:rsidR="00057B49" w:rsidRDefault="00057B49"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E37F46" w:rsidRDefault="00E37F46"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Targeted support:</w:t>
            </w:r>
          </w:p>
          <w:p w:rsidR="00E37F46" w:rsidRDefault="00E37F46"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Use of Play Therapy to support individuals, groups and families</w:t>
            </w:r>
          </w:p>
          <w:p w:rsidR="00E37F46" w:rsidRPr="00E37F46" w:rsidRDefault="00E37F46"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1417" w:type="dxa"/>
          </w:tcPr>
          <w:p w:rsidR="00057B49" w:rsidRDefault="00057B49"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E37F46" w:rsidRPr="00E37F46" w:rsidRDefault="00E37F46"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LW/HF</w:t>
            </w:r>
          </w:p>
        </w:tc>
        <w:tc>
          <w:tcPr>
            <w:tcW w:w="1276" w:type="dxa"/>
          </w:tcPr>
          <w:p w:rsidR="00057B49" w:rsidRDefault="00057B49"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szCs w:val="20"/>
              </w:rPr>
            </w:pPr>
          </w:p>
          <w:p w:rsidR="00E37F46" w:rsidRPr="00E37F46" w:rsidRDefault="00E37F46" w:rsidP="00CC4D9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sidRPr="00E37F46">
              <w:rPr>
                <w:rFonts w:ascii="Arial" w:eastAsia="Calibri" w:hAnsi="Arial" w:cs="Arial"/>
                <w:color w:val="auto"/>
                <w:sz w:val="20"/>
                <w:szCs w:val="20"/>
              </w:rPr>
              <w:t>£20,000</w:t>
            </w:r>
          </w:p>
        </w:tc>
        <w:tc>
          <w:tcPr>
            <w:tcW w:w="2268" w:type="dxa"/>
            <w:vAlign w:val="center"/>
          </w:tcPr>
          <w:p w:rsidR="00E37F46" w:rsidRDefault="00E37F46" w:rsidP="00057B4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057B49" w:rsidRDefault="00E37F46" w:rsidP="00057B4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CIRCLE document – classroom participation scale</w:t>
            </w:r>
          </w:p>
          <w:p w:rsidR="00E37F46" w:rsidRDefault="00E37F46" w:rsidP="00057B4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p w:rsidR="00E37F46" w:rsidRDefault="00E37F46" w:rsidP="00057B4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r>
              <w:rPr>
                <w:rFonts w:ascii="Arial" w:eastAsia="Calibri" w:hAnsi="Arial" w:cs="Arial"/>
                <w:color w:val="auto"/>
                <w:sz w:val="20"/>
                <w:szCs w:val="20"/>
              </w:rPr>
              <w:t xml:space="preserve">Leuven Scale </w:t>
            </w:r>
          </w:p>
          <w:p w:rsidR="00E37F46" w:rsidRPr="00E37F46" w:rsidRDefault="00E37F46" w:rsidP="00057B49">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c>
          <w:tcPr>
            <w:tcW w:w="3113" w:type="dxa"/>
            <w:vAlign w:val="center"/>
          </w:tcPr>
          <w:p w:rsidR="00057B49" w:rsidRPr="00E37F46" w:rsidRDefault="00057B49" w:rsidP="00914E11">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0"/>
              </w:rPr>
            </w:pPr>
          </w:p>
        </w:tc>
      </w:tr>
      <w:tr w:rsidR="00057B49" w:rsidRPr="001924C4" w:rsidTr="009B6C83">
        <w:trPr>
          <w:trHeight w:val="83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057B49" w:rsidRPr="00E37F46" w:rsidRDefault="00057B49" w:rsidP="00914E11">
            <w:pPr>
              <w:rPr>
                <w:rFonts w:ascii="Arial" w:eastAsia="Calibri" w:hAnsi="Arial" w:cs="Arial"/>
                <w:b w:val="0"/>
                <w:bCs w:val="0"/>
                <w:color w:val="auto"/>
                <w:sz w:val="20"/>
                <w:szCs w:val="20"/>
              </w:rPr>
            </w:pPr>
          </w:p>
        </w:tc>
        <w:tc>
          <w:tcPr>
            <w:tcW w:w="3969" w:type="dxa"/>
          </w:tcPr>
          <w:p w:rsidR="00057B49" w:rsidRPr="00E37F46" w:rsidRDefault="00057B49" w:rsidP="00CC4D9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1417" w:type="dxa"/>
            <w:vAlign w:val="center"/>
          </w:tcPr>
          <w:p w:rsidR="00057B49" w:rsidRPr="009B6C83" w:rsidRDefault="009B6C83" w:rsidP="009B6C83">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r>
              <w:rPr>
                <w:rFonts w:ascii="Arial" w:eastAsia="Calibri" w:hAnsi="Arial" w:cs="Arial"/>
                <w:b/>
                <w:color w:val="auto"/>
                <w:sz w:val="20"/>
                <w:szCs w:val="20"/>
              </w:rPr>
              <w:t>Current total</w:t>
            </w:r>
          </w:p>
        </w:tc>
        <w:tc>
          <w:tcPr>
            <w:tcW w:w="1276" w:type="dxa"/>
            <w:vAlign w:val="center"/>
          </w:tcPr>
          <w:p w:rsidR="00057B49" w:rsidRPr="009B6C83" w:rsidRDefault="009B6C83" w:rsidP="009B6C83">
            <w:pP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auto"/>
                <w:sz w:val="20"/>
                <w:szCs w:val="20"/>
              </w:rPr>
            </w:pPr>
            <w:r>
              <w:rPr>
                <w:rFonts w:ascii="Arial" w:eastAsia="Calibri" w:hAnsi="Arial" w:cs="Arial"/>
                <w:b/>
                <w:color w:val="auto"/>
                <w:sz w:val="20"/>
                <w:szCs w:val="20"/>
              </w:rPr>
              <w:t>£59,919</w:t>
            </w:r>
          </w:p>
        </w:tc>
        <w:tc>
          <w:tcPr>
            <w:tcW w:w="2268" w:type="dxa"/>
            <w:vAlign w:val="center"/>
          </w:tcPr>
          <w:p w:rsidR="00057B49" w:rsidRPr="00E37F46" w:rsidRDefault="00057B49" w:rsidP="00057B49">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c>
          <w:tcPr>
            <w:tcW w:w="3113" w:type="dxa"/>
            <w:vAlign w:val="center"/>
          </w:tcPr>
          <w:p w:rsidR="00057B49" w:rsidRPr="00E37F46" w:rsidRDefault="00057B49" w:rsidP="00914E11">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0"/>
              </w:rPr>
            </w:pPr>
          </w:p>
        </w:tc>
      </w:tr>
    </w:tbl>
    <w:p w:rsidR="008119A1" w:rsidRPr="00652775" w:rsidRDefault="008119A1" w:rsidP="008119A1">
      <w:pPr>
        <w:rPr>
          <w:sz w:val="22"/>
        </w:rPr>
        <w:sectPr w:rsidR="008119A1" w:rsidRPr="00652775" w:rsidSect="008119A1">
          <w:footerReference w:type="default" r:id="rId8"/>
          <w:pgSz w:w="16838" w:h="11906" w:orient="landscape"/>
          <w:pgMar w:top="851" w:right="851" w:bottom="851" w:left="851" w:header="709" w:footer="709" w:gutter="0"/>
          <w:cols w:space="708"/>
          <w:docGrid w:linePitch="360"/>
        </w:sectPr>
      </w:pPr>
    </w:p>
    <w:p w:rsidR="00C9333D" w:rsidRDefault="00C9333D"/>
    <w:sectPr w:rsidR="00C9333D" w:rsidSect="008119A1">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06B6">
      <w:r>
        <w:separator/>
      </w:r>
    </w:p>
  </w:endnote>
  <w:endnote w:type="continuationSeparator" w:id="0">
    <w:p w:rsidR="00000000" w:rsidRDefault="0000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54" w:rsidRDefault="009B6C83">
    <w:pPr>
      <w:pStyle w:val="Footer"/>
      <w:jc w:val="center"/>
    </w:pPr>
    <w:r>
      <w:fldChar w:fldCharType="begin"/>
    </w:r>
    <w:r>
      <w:instrText xml:space="preserve"> PAGE   \* MERGEFORMAT </w:instrText>
    </w:r>
    <w:r>
      <w:fldChar w:fldCharType="separate"/>
    </w:r>
    <w:r w:rsidR="000006B6">
      <w:rPr>
        <w:noProof/>
      </w:rPr>
      <w:t>2</w:t>
    </w:r>
    <w:r>
      <w:rPr>
        <w:noProof/>
      </w:rPr>
      <w:fldChar w:fldCharType="end"/>
    </w:r>
  </w:p>
  <w:p w:rsidR="00EB5954" w:rsidRDefault="0000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06B6">
      <w:r>
        <w:separator/>
      </w:r>
    </w:p>
  </w:footnote>
  <w:footnote w:type="continuationSeparator" w:id="0">
    <w:p w:rsidR="00000000" w:rsidRDefault="0000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07A7"/>
    <w:multiLevelType w:val="hybridMultilevel"/>
    <w:tmpl w:val="C4E4E30C"/>
    <w:lvl w:ilvl="0" w:tplc="C34CEBC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9A1"/>
    <w:rsid w:val="000006B6"/>
    <w:rsid w:val="00057B49"/>
    <w:rsid w:val="003A0227"/>
    <w:rsid w:val="003C7CAE"/>
    <w:rsid w:val="0067600C"/>
    <w:rsid w:val="006E5BE9"/>
    <w:rsid w:val="008119A1"/>
    <w:rsid w:val="00914E11"/>
    <w:rsid w:val="009B6C83"/>
    <w:rsid w:val="00C9333D"/>
    <w:rsid w:val="00CC4D9E"/>
    <w:rsid w:val="00DC71DA"/>
    <w:rsid w:val="00E3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2BA"/>
  <w15:docId w15:val="{85E11553-6649-4C79-8D5C-918F59F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19A1"/>
    <w:pPr>
      <w:tabs>
        <w:tab w:val="center" w:pos="4153"/>
        <w:tab w:val="right" w:pos="8306"/>
      </w:tabs>
    </w:pPr>
  </w:style>
  <w:style w:type="character" w:customStyle="1" w:styleId="FooterChar">
    <w:name w:val="Footer Char"/>
    <w:basedOn w:val="DefaultParagraphFont"/>
    <w:link w:val="Footer"/>
    <w:uiPriority w:val="99"/>
    <w:rsid w:val="008119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9A1"/>
    <w:rPr>
      <w:rFonts w:ascii="Tahoma" w:hAnsi="Tahoma" w:cs="Tahoma"/>
      <w:sz w:val="16"/>
      <w:szCs w:val="16"/>
    </w:rPr>
  </w:style>
  <w:style w:type="character" w:customStyle="1" w:styleId="BalloonTextChar">
    <w:name w:val="Balloon Text Char"/>
    <w:basedOn w:val="DefaultParagraphFont"/>
    <w:link w:val="BalloonText"/>
    <w:uiPriority w:val="99"/>
    <w:semiHidden/>
    <w:rsid w:val="008119A1"/>
    <w:rPr>
      <w:rFonts w:ascii="Tahoma" w:eastAsia="Times New Roman" w:hAnsi="Tahoma" w:cs="Tahoma"/>
      <w:sz w:val="16"/>
      <w:szCs w:val="16"/>
    </w:rPr>
  </w:style>
  <w:style w:type="table" w:styleId="LightShading-Accent3">
    <w:name w:val="Light Shading Accent 3"/>
    <w:basedOn w:val="TableNormal"/>
    <w:uiPriority w:val="60"/>
    <w:rsid w:val="006E5BE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6E5BE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1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reedh84</dc:creator>
  <cp:lastModifiedBy>Helen Reed</cp:lastModifiedBy>
  <cp:revision>5</cp:revision>
  <dcterms:created xsi:type="dcterms:W3CDTF">2020-06-29T10:52:00Z</dcterms:created>
  <dcterms:modified xsi:type="dcterms:W3CDTF">2020-11-05T17:28:00Z</dcterms:modified>
</cp:coreProperties>
</file>